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55C" w:rsidRPr="0086755C" w:rsidRDefault="0086755C" w:rsidP="0086755C">
      <w:pPr>
        <w:pStyle w:val="Titlu1"/>
        <w:spacing w:before="48" w:after="48" w:line="264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pacing w:val="-6"/>
          <w:kern w:val="36"/>
          <w:sz w:val="56"/>
          <w:szCs w:val="56"/>
          <w:lang w:eastAsia="ro-RO"/>
        </w:rPr>
      </w:pPr>
      <w:r w:rsidRPr="0086755C">
        <w:rPr>
          <w:rFonts w:ascii="Times New Roman" w:eastAsia="Times New Roman" w:hAnsi="Times New Roman" w:cs="Times New Roman"/>
          <w:b/>
          <w:bCs/>
          <w:color w:val="auto"/>
          <w:spacing w:val="-6"/>
          <w:kern w:val="36"/>
          <w:sz w:val="56"/>
          <w:szCs w:val="56"/>
          <w:lang w:eastAsia="ro-RO"/>
        </w:rPr>
        <w:t>Informații privind acordarea venitului minim de incluziune (VMI)</w:t>
      </w:r>
    </w:p>
    <w:p w:rsidR="0086755C" w:rsidRPr="0086755C" w:rsidRDefault="0086755C" w:rsidP="008675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AE5EFF">
        <w:rPr>
          <w:rFonts w:ascii="Open Sans" w:eastAsia="Times New Roman" w:hAnsi="Open Sans" w:cs="Times New Roman"/>
          <w:color w:val="444444"/>
          <w:sz w:val="23"/>
          <w:szCs w:val="23"/>
          <w:lang w:eastAsia="ro-RO"/>
        </w:rPr>
        <w:t>VMI reprezintă un program unic de asistență socială, creat pentru a ajuta persoanele și familiile vulnerabile să depășească obstacolele financiare pe care le întâmpină și să-și îmbunătățească viața.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br/>
      </w:r>
      <w:proofErr w:type="spellStart"/>
      <w:r w:rsidR="00F6421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Conditiile</w:t>
      </w:r>
      <w:proofErr w:type="spellEnd"/>
      <w:r w:rsidR="00F6421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 xml:space="preserve"> de acordare a Venitului minim de incluziune: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br/>
        <w:t>‍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-</w:t>
      </w:r>
      <w:r w:rsidR="00F6421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VMI se acordă în baza 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prevederil</w:t>
      </w:r>
      <w:r w:rsidR="00F6421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or</w:t>
      </w:r>
      <w:bookmarkStart w:id="0" w:name="_GoBack"/>
      <w:bookmarkEnd w:id="0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Legii nr.196/2016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, privind venitul minim de incluziune,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- prevederile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O.U.G nr.114/2022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, pentru modificarea și completarea Legii nr.196/2016, privind venitul minim de incluziune,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- prevederile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H.G. nr. 1154/2022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, pentru aprobarea Normelor metodologice de aplicare a prevederilor Legii nr.196/2016, privind venitul minim de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incluziune;Astfel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se instituie venitul minim de incluziune beneficiu de asistență socială, acordat persoanelor singure sau familiilor vulnerabile, în scopul prevenirii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combaterii sărăciei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riscului de excluziune socială.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Venitul minim de incluziune are următoarele componente: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a)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ajutor de incluziune;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‍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b)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ajutor pentru familia cu copii;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‍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c)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stimulente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 - măsuri speciale de stimulare pentru participarea pe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piaţa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muncii, acordate în bani sau care reprezintă deduceri aplicate veniturilor persoanei;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d) </w:t>
      </w:r>
      <w:proofErr w:type="spellStart"/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facilităţi</w:t>
      </w:r>
      <w:proofErr w:type="spellEnd"/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 xml:space="preserve"> contributive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 - asigurarea în sistemul asigurărilor sociale de sănătate, fără plata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contribuţiei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de asigurări sociale de sănătate;</w:t>
      </w:r>
    </w:p>
    <w:p w:rsid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e)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alte drepturi complementare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 - transferuri financiare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/sau sprijin în natură, cu scopul de a facilita incluziunea socială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prevenirea riscului de excluziune socială, acordate beneficiarilor de venit minim de incluziune sau altor categorii aflate în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situaţii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deosebite, constând, după caz, în:        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(i) plata asigurării obligatorii a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locuinţei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în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condiţiile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împotriva cutremurelor, alunecărilor de teren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inundaţiilor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, republicată;  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lastRenderedPageBreak/>
        <w:t xml:space="preserve">(ii) acordarea de ajutoare comunitare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de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urgenţă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destinate sprijinirii familiei/persoanei singure pentru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depăşirea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unor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situaţii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de dificultate temporară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prevenirea sau reducerea riscului de sărăcie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excluziune socială;  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(iii) accesul la măsuri de sprijin financiar pentru promovarea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susţinerea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frecventării cursurilor de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învăţământ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, organizate în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condiţiile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legii de către beneficiarii venitului minim de incluziune;        (iv) măsuri de stimulare a ocupării, care să conducă la accesul persoanelor beneficiare de venit minim de incluziune la un loc de muncă;        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(v) accesul la serviciile sociale disponibile, în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funcţie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de nevoile identificate în vederea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depăşirii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situaţiilor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de dificultate..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-3"/>
          <w:sz w:val="53"/>
          <w:szCs w:val="53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‍</w:t>
      </w:r>
      <w:r w:rsidRPr="0086755C">
        <w:rPr>
          <w:rFonts w:ascii="Times New Roman" w:eastAsia="Times New Roman" w:hAnsi="Times New Roman" w:cs="Times New Roman"/>
          <w:spacing w:val="-3"/>
          <w:sz w:val="53"/>
          <w:szCs w:val="53"/>
          <w:lang w:eastAsia="ro-RO"/>
        </w:rPr>
        <w:t>‍</w:t>
      </w:r>
      <w:r w:rsidRPr="0086755C">
        <w:rPr>
          <w:rFonts w:ascii="Times New Roman" w:eastAsia="Times New Roman" w:hAnsi="Times New Roman" w:cs="Times New Roman"/>
          <w:b/>
          <w:bCs/>
          <w:spacing w:val="-3"/>
          <w:sz w:val="53"/>
          <w:szCs w:val="53"/>
          <w:lang w:eastAsia="ro-RO"/>
        </w:rPr>
        <w:t>Beneficiari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‍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VMI se acordă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persoanelor singure/familiilor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 care obțin un venit net lunar ajustat mai mic sau egal cu nivelele maxime stabilite prin lege, pentru cele două componente ale VMI: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- Pentru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ajutorul de incluziune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, nivelul maxim al venitului net trebuie să fie de 275 lei, respectiv 400 lei dacă persoana singură a depășit vârsta de 65 ani.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- Pentru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ajutorul pentru familia cu copii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, nivelul maxim al venitului net trebuie să fie de 700 lei/membru de familie.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Apar noțiuni noi,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coeficientul de echivalență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 (1 pentru persoana singură și pentru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reprezenantul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legal al familiei),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dimensiunea familiei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 (suma dintre coeficientul de echivalență corespunzător reprezentantului familiei – 1 și 0,5 pentru fiecare din membrii familiei) și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venitul net lunar ajustat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 (obținut din împărțirea venitului total net al familiei la dimensiunea familiei),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pentru calcularea pragului de acordare și a sumelor acordate ca ajutor pentru incluziune sau ajutor pentru familie.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‍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‍</w:t>
      </w:r>
      <w:r w:rsidRPr="0086755C">
        <w:rPr>
          <w:rFonts w:ascii="Times New Roman" w:eastAsia="Times New Roman" w:hAnsi="Times New Roman" w:cs="Times New Roman"/>
          <w:spacing w:val="-3"/>
          <w:sz w:val="53"/>
          <w:szCs w:val="53"/>
          <w:lang w:eastAsia="ro-RO"/>
        </w:rPr>
        <w:t>‍</w:t>
      </w:r>
      <w:r w:rsidRPr="0086755C">
        <w:rPr>
          <w:rFonts w:ascii="Times New Roman" w:eastAsia="Times New Roman" w:hAnsi="Times New Roman" w:cs="Times New Roman"/>
          <w:b/>
          <w:bCs/>
          <w:spacing w:val="-3"/>
          <w:sz w:val="53"/>
          <w:szCs w:val="53"/>
          <w:lang w:eastAsia="ro-RO"/>
        </w:rPr>
        <w:t>Sume acordate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‍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br/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Suma acordată  lunar ca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ajutor de incluziune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 va fi de maxim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-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275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 lei, pentru persoana singură fără venituri,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-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400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 lei, pentru persoana singură fără cu vârsta de peste 65 ani, fără venituri,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lastRenderedPageBreak/>
        <w:t>-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413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 lei, pentru familia compusă din două persoane (275 lei * 1,5 dimensiunea familiei),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-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550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 lei, pentru familie compusă din trei persoane (275 lei * 2 dimensiunea familiei),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-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688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 lei, pentru familie compusă din patru persoane (275 lei * 2,5 dimensiunea familiei),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-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825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 lei, pentru familia compusă din cinci persoane (275 lei * 3 dimensiunea familiei)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‍Suma acordată ca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ajutor pentru familia cu copii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 este stabilit în funcție de nivelul venitului net lunar ajustat și numărul de copii din familie, respectiv: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1. Pentru familia cu venituri nete lunare ajustate de până la 275 de lei/lună, cuantumul lunar al ajutorului pentru familia cu copii este: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- 107 lei, pentru familia cu un copil;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- 214 lei, pentru familia cu 2 copii;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- 321 de lei, pentru familia cu 3 copii;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- 428 de lei, pentru familia cu 4 copii sau mai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multi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.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‍2. Pentru familia monoparentală cu venituri nete lunare ajustate de până la 275 de lei/lună, cuantumul lunar al ajutorului pentru familia cu copii este: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- 120 de lei, pentru familia cu un copil;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- 240 de lei, pentru familia cu 2 copii;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- 360 de lei, pentru familia cu 3 copii;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- 480 de lei, pentru familia cu 4 copii sau mai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multi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.‍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3. Pentru familiile care au un venit net lunar ajustat cuprins între 276 de lei/lună și 700 de lei inclusiv, cuantumul lunar al ajutorului pentru familia cu copii este: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- 85 de lei, pentru familia cu un copil;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- 170 de lei, pentru familia cu 2 copii;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lastRenderedPageBreak/>
        <w:t>- 255 de lei, pentru familia cu 3 copii;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- 340 de lei, pentru familia cu 4 copii sau mai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multi</w:t>
      </w:r>
      <w:proofErr w:type="spellEnd"/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‍4. Pentru familiile monoparentale care au un venit net lunar ajustat cuprins între 276 de lei/ lună și 700 de lei inclusiv, cuantumul lunar al ajutorului pentru familia cu copii este: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- 110 lei, pentru familia cu un copil;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- 215 lei, pentru familia cu 2 copii;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- 325 de lei, pentru familia cu 3 copii;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- 430 de lei, pentru familia cu 4 copii sau mai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multi</w:t>
      </w:r>
      <w:proofErr w:type="spellEnd"/>
    </w:p>
    <w:p w:rsidR="0086755C" w:rsidRPr="0086755C" w:rsidRDefault="0086755C" w:rsidP="0086755C">
      <w:pPr>
        <w:spacing w:line="408" w:lineRule="atLeast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86755C">
        <w:rPr>
          <w:rFonts w:ascii="Times New Roman" w:eastAsia="Times New Roman" w:hAnsi="Times New Roman" w:cs="Times New Roman"/>
          <w:sz w:val="26"/>
          <w:szCs w:val="26"/>
          <w:lang w:eastAsia="ro-RO"/>
        </w:rPr>
        <w:t>*Dacă din calcul rezultă o sumă mai mică de 50 de lei, atunci se acordă 50 de lei.</w:t>
      </w:r>
    </w:p>
    <w:p w:rsidR="0086755C" w:rsidRPr="0086755C" w:rsidRDefault="0086755C" w:rsidP="0086755C">
      <w:pPr>
        <w:spacing w:before="100" w:beforeAutospacing="1" w:after="120" w:line="312" w:lineRule="atLeast"/>
        <w:outlineLvl w:val="2"/>
        <w:rPr>
          <w:rFonts w:ascii="Times New Roman" w:eastAsia="Times New Roman" w:hAnsi="Times New Roman" w:cs="Times New Roman"/>
          <w:spacing w:val="-3"/>
          <w:sz w:val="53"/>
          <w:szCs w:val="53"/>
          <w:lang w:eastAsia="ro-RO"/>
        </w:rPr>
      </w:pPr>
      <w:r w:rsidRPr="0086755C">
        <w:rPr>
          <w:rFonts w:ascii="Times New Roman" w:eastAsia="Times New Roman" w:hAnsi="Times New Roman" w:cs="Times New Roman"/>
          <w:spacing w:val="-3"/>
          <w:sz w:val="53"/>
          <w:szCs w:val="53"/>
          <w:lang w:eastAsia="ro-RO"/>
        </w:rPr>
        <w:t>‍</w:t>
      </w:r>
      <w:r w:rsidRPr="0086755C">
        <w:rPr>
          <w:rFonts w:ascii="Times New Roman" w:eastAsia="Times New Roman" w:hAnsi="Times New Roman" w:cs="Times New Roman"/>
          <w:b/>
          <w:bCs/>
          <w:spacing w:val="-3"/>
          <w:sz w:val="53"/>
          <w:szCs w:val="53"/>
          <w:lang w:eastAsia="ro-RO"/>
        </w:rPr>
        <w:t>Precizări: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‍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Pentru calculul venitului net lunar ajustat se iau în considerare toate sumele primite/realizate de persoana singură, respectiv de fiecare membru al familiei în luna anterioară solicitării VMI, cu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excepţia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următoarelor venituri: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a. sumele primite cu titlu de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prestaţii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sociale în baza Legii nr. 448/2006 privind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protecţia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promovarea drepturilor persoanelor cu handicap, republicată, cu modificările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completările ulterioare;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b.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alocaţia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de stat pentru copii acordată în baza Legii nr. 61/1993 privind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alocaţia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de stat pentru copii, republicată, cu modificările ulterioare;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c. sumele acordate ca burse sau alte forme de sprijin financiar destinate exclusiv pentru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susţinerea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educaţiei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preşcolarilor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, elevilor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studenţilor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, prin programe ale Ministerului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Educaţiei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Naţionale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Cercetării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Ştiinţifice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, altor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instituţii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publice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private, inclusiv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organizaţii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neguvernamentale;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d. sumele primite din activitatea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desfăşurată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ca zilier, în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condiţiile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Legii nr. 52/2011 privind exercitarea unor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activităţi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cu caracter ocazional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desfăşurate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de zilieri, republicată, cu modificările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completările ulterioare, precum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cele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obţinute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în calitate de prestator casnic în baza Legii nr. 111/2022 privind reglementarea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activităţii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prestatorului casnic;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lastRenderedPageBreak/>
        <w:t xml:space="preserve">e. sumele primite de persoanele apte de muncă din familie ca urmare a participării la programe de formare profesională organizate în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condiţiile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legii, dacă acestea nu au titlu de venituri salariale;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f. sumele primite ocazional din partea unor persoane fizice ori juridice, precum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sumele cu titlu de ajutor de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urgenţă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primite de la bugetul de stat sau local.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g. stimulentul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educaţional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acordat potrivit prevederilor Legii nr. 248/2015 privind stimularea participării în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învăţământul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preşcolar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a copiilor provenind din familii defavorizate, republicată, sub formă de tichet social pentru stimularea participării în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învăţământul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preşcolar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a copiilor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proveniţi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din familii defavorizate;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h. sumele ocazionale acordate de la bugetul de stat sau bugetele locale cu caracter de despăgubiri ori sprijin financiar pentru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situaţii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excepţionale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i. ajutorul pentru încălzirea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locuinţei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suplimentul pentru energie acordate în baza Legii nr. 226/2021, cu modificările ulterioare;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j.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indemnizaţia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lunară de hrană acordată în baza Legii nr. 584/2002 privind măsurile de prevenire a răspândirii maladiei SIDA în România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de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protecţie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a persoanelor infectate cu HIV sau bolnave de SIDA, cu modificările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completările ulterioare,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indemnizaţia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lunară de hrană prevăzută de Legea nr. 302/2018 privind măsurile de control al tuberculozei;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k. sumele primite cu titlu de sprijin, asigurate din bugetul de stat sau fonduri nerambursabile, acordate în baza legii sau în baza programelor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operaţionale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aprobate.</w:t>
      </w:r>
    </w:p>
    <w:p w:rsidR="00A338DE" w:rsidRDefault="0086755C" w:rsidP="00B14498">
      <w:pPr>
        <w:spacing w:before="72" w:after="168" w:line="312" w:lineRule="atLeast"/>
        <w:outlineLvl w:val="1"/>
        <w:rPr>
          <w:rFonts w:ascii="Times New Roman" w:eastAsia="Times New Roman" w:hAnsi="Times New Roman" w:cs="Times New Roman"/>
          <w:b/>
          <w:bCs/>
          <w:spacing w:val="3"/>
          <w:sz w:val="40"/>
          <w:szCs w:val="40"/>
          <w:lang w:eastAsia="ro-RO"/>
        </w:rPr>
      </w:pPr>
      <w:r w:rsidRPr="0086755C">
        <w:rPr>
          <w:rFonts w:ascii="Times New Roman" w:eastAsia="Times New Roman" w:hAnsi="Times New Roman" w:cs="Times New Roman"/>
          <w:b/>
          <w:bCs/>
          <w:spacing w:val="-3"/>
          <w:sz w:val="70"/>
          <w:szCs w:val="70"/>
          <w:lang w:eastAsia="ro-RO"/>
        </w:rPr>
        <w:t>‍</w:t>
      </w:r>
      <w:r w:rsidR="00B14498">
        <w:rPr>
          <w:rFonts w:ascii="Times New Roman" w:eastAsia="Times New Roman" w:hAnsi="Times New Roman" w:cs="Times New Roman"/>
          <w:b/>
          <w:bCs/>
          <w:spacing w:val="-3"/>
          <w:sz w:val="70"/>
          <w:szCs w:val="70"/>
          <w:lang w:eastAsia="ro-RO"/>
        </w:rPr>
        <w:t>Documente necesare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3D2426">
        <w:rPr>
          <w:rFonts w:ascii="Times New Roman" w:eastAsia="Times New Roman" w:hAnsi="Times New Roman" w:cs="Times New Roman"/>
          <w:b/>
          <w:bCs/>
          <w:spacing w:val="3"/>
          <w:sz w:val="40"/>
          <w:szCs w:val="40"/>
          <w:lang w:eastAsia="ro-RO"/>
        </w:rPr>
        <w:t>Bunuri care duc la excluderea VMI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br/>
        <w:t>‍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Stabilirea dreptului la venit minim de incluziune se realizează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ţinându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-se seama de bunurile familiei sau, după caz, ale persoanei singure, cuprinse în Lista bunurilor ce conduc la excluderea acordării venitului minim de incluziune. Lista poate fi consultată mai jos.</w:t>
      </w:r>
    </w:p>
    <w:p w:rsidR="00B14498" w:rsidRDefault="0086755C" w:rsidP="00A338DE">
      <w:pPr>
        <w:spacing w:after="360" w:line="408" w:lineRule="atLeast"/>
        <w:rPr>
          <w:rFonts w:ascii="Times New Roman" w:eastAsia="Times New Roman" w:hAnsi="Times New Roman" w:cs="Times New Roman"/>
          <w:b/>
          <w:bCs/>
          <w:sz w:val="43"/>
          <w:szCs w:val="43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‍</w:t>
      </w:r>
      <w:r w:rsidRPr="0086755C">
        <w:rPr>
          <w:rFonts w:ascii="Times New Roman" w:eastAsia="Times New Roman" w:hAnsi="Times New Roman" w:cs="Times New Roman"/>
          <w:sz w:val="43"/>
          <w:szCs w:val="43"/>
          <w:lang w:eastAsia="ro-RO"/>
        </w:rPr>
        <w:t>‍</w:t>
      </w:r>
      <w:r w:rsidRPr="0086755C">
        <w:rPr>
          <w:rFonts w:ascii="Times New Roman" w:eastAsia="Times New Roman" w:hAnsi="Times New Roman" w:cs="Times New Roman"/>
          <w:b/>
          <w:bCs/>
          <w:sz w:val="43"/>
          <w:szCs w:val="43"/>
          <w:lang w:eastAsia="ro-RO"/>
        </w:rPr>
        <w:t>LISTA bunurilor ce conduc la excluderea acordării venitului minim de incluziune</w:t>
      </w:r>
      <w:r w:rsidRPr="0086755C">
        <w:rPr>
          <w:rFonts w:ascii="Times New Roman" w:eastAsia="Times New Roman" w:hAnsi="Times New Roman" w:cs="Times New Roman"/>
          <w:b/>
          <w:bCs/>
          <w:sz w:val="43"/>
          <w:szCs w:val="43"/>
          <w:lang w:eastAsia="ro-RO"/>
        </w:rPr>
        <w:br/>
      </w:r>
    </w:p>
    <w:p w:rsidR="00B14498" w:rsidRDefault="00B14498" w:rsidP="00A338DE">
      <w:pPr>
        <w:spacing w:after="360" w:line="408" w:lineRule="atLeast"/>
        <w:rPr>
          <w:rFonts w:ascii="Times New Roman" w:eastAsia="Times New Roman" w:hAnsi="Times New Roman" w:cs="Times New Roman"/>
          <w:b/>
          <w:bCs/>
          <w:sz w:val="43"/>
          <w:szCs w:val="43"/>
          <w:lang w:eastAsia="ro-RO"/>
        </w:rPr>
      </w:pPr>
    </w:p>
    <w:p w:rsidR="0086755C" w:rsidRPr="0086755C" w:rsidRDefault="0086755C" w:rsidP="00A338DE">
      <w:pPr>
        <w:spacing w:after="360" w:line="408" w:lineRule="atLeast"/>
        <w:rPr>
          <w:rFonts w:ascii="Times New Roman" w:eastAsia="Times New Roman" w:hAnsi="Times New Roman" w:cs="Times New Roman"/>
          <w:sz w:val="43"/>
          <w:szCs w:val="43"/>
          <w:lang w:eastAsia="ro-RO"/>
        </w:rPr>
      </w:pPr>
      <w:r w:rsidRPr="0086755C">
        <w:rPr>
          <w:rFonts w:ascii="Times New Roman" w:eastAsia="Times New Roman" w:hAnsi="Times New Roman" w:cs="Times New Roman"/>
          <w:b/>
          <w:bCs/>
          <w:sz w:val="43"/>
          <w:szCs w:val="43"/>
          <w:lang w:eastAsia="ro-RO"/>
        </w:rPr>
        <w:br/>
        <w:t>A. Bunuri imobile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‍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Clădiri, alte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spaţii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locative în afara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locuinţei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de domiciliu, precum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terenuri situate în intravilan cu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suprafaţa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de peste 1.200 mp în zona urbană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2.500 mp în zona rurală, în afara terenurilor de împrejmuire a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locuinţei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a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curţii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aferente</w:t>
      </w:r>
    </w:p>
    <w:p w:rsidR="0086755C" w:rsidRPr="0086755C" w:rsidRDefault="0086755C" w:rsidP="00A338DE">
      <w:pPr>
        <w:spacing w:after="360" w:line="408" w:lineRule="atLeast"/>
        <w:rPr>
          <w:rFonts w:ascii="Times New Roman" w:eastAsia="Times New Roman" w:hAnsi="Times New Roman" w:cs="Times New Roman"/>
          <w:sz w:val="43"/>
          <w:szCs w:val="43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‍</w:t>
      </w:r>
      <w:r w:rsidRPr="0086755C">
        <w:rPr>
          <w:rFonts w:ascii="Times New Roman" w:eastAsia="Times New Roman" w:hAnsi="Times New Roman" w:cs="Times New Roman"/>
          <w:sz w:val="43"/>
          <w:szCs w:val="43"/>
          <w:lang w:eastAsia="ro-RO"/>
        </w:rPr>
        <w:t>‍</w:t>
      </w:r>
      <w:r w:rsidRPr="0086755C">
        <w:rPr>
          <w:rFonts w:ascii="Times New Roman" w:eastAsia="Times New Roman" w:hAnsi="Times New Roman" w:cs="Times New Roman"/>
          <w:b/>
          <w:bCs/>
          <w:sz w:val="43"/>
          <w:szCs w:val="43"/>
          <w:lang w:eastAsia="ro-RO"/>
        </w:rPr>
        <w:t>B. Bunuri mobile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‍‍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1. Mai mult de un vehicul cu o vechime mai mare de 10 ani, cu drept de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circulaţie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pe drumurile publice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2. Autovehicul cu drept de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circulaţie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pe drumurile publice cu o vechime mai mică de 10 ani, cu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excepţia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celor utilizate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/sau adaptate pentru transportul persoanelor cu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dizabilităţi</w:t>
      </w:r>
      <w:proofErr w:type="spellEnd"/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3.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Şalupe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, bărci cu motor, iahturi sau alte tipuri de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ambarcaţiuni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, cu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excepţia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celor necesare pentru transport în cazul persoanelor care locuiesc în aria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Rezervaţiei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Biosferei „Delta Dunării“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NOTĂ:În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situaţia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în care unul sau mai multe bunuri aflate în proprietatea persoanei singure/familiei beneficiare de venit minim de incluziune este dat în închiriere/arendă/concesiune, acest bun va fi luat în calcul pentru persoana/familia care îl are în închiriere/arendă/concesiune, iar pentru proprietarul de drept se va lua în calcul valoarea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obţinută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în urma cedării dreptului de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folosinţă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a bunului.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Persoana sau familia care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deţine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pe lângă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locuinţa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de domiciliu o cotă-parte dintr-o altă clădire/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spaţiu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locativ/imobil poate beneficia de venit minim de incluziune indiferent de mărimea cotei, dacă prin această posesiune nu poate valorifica bunul respectiv.</w:t>
      </w:r>
    </w:p>
    <w:p w:rsidR="0086755C" w:rsidRPr="0086755C" w:rsidRDefault="0086755C" w:rsidP="0086755C">
      <w:pPr>
        <w:spacing w:before="100" w:beforeAutospacing="1" w:after="144" w:line="312" w:lineRule="atLeast"/>
        <w:outlineLvl w:val="3"/>
        <w:rPr>
          <w:rFonts w:ascii="Times New Roman" w:eastAsia="Times New Roman" w:hAnsi="Times New Roman" w:cs="Times New Roman"/>
          <w:sz w:val="43"/>
          <w:szCs w:val="43"/>
          <w:lang w:eastAsia="ro-RO"/>
        </w:rPr>
      </w:pPr>
      <w:r w:rsidRPr="0086755C">
        <w:rPr>
          <w:rFonts w:ascii="Times New Roman" w:eastAsia="Times New Roman" w:hAnsi="Times New Roman" w:cs="Times New Roman"/>
          <w:sz w:val="43"/>
          <w:szCs w:val="43"/>
          <w:lang w:eastAsia="ro-RO"/>
        </w:rPr>
        <w:t>‍</w:t>
      </w:r>
      <w:r w:rsidRPr="0086755C">
        <w:rPr>
          <w:rFonts w:ascii="Times New Roman" w:eastAsia="Times New Roman" w:hAnsi="Times New Roman" w:cs="Times New Roman"/>
          <w:b/>
          <w:bCs/>
          <w:sz w:val="43"/>
          <w:szCs w:val="43"/>
          <w:lang w:eastAsia="ro-RO"/>
        </w:rPr>
        <w:t>C. Depozite bancare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‍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Cel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puţin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unul dintre membrii familiei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deţine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, în calitate de titular, unul sau mai multe conturi/depozite bancare, a căror sumă totală este mai mare de 3 ori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faţă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de valoarea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câştigului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salarial mediu brut prevăzut de Legea asigurărilor sociale de stat. (la acest moment valoarea este de 6095*3=18285 lei).</w:t>
      </w:r>
    </w:p>
    <w:p w:rsidR="0086755C" w:rsidRPr="0086755C" w:rsidRDefault="0086755C" w:rsidP="0086755C">
      <w:pPr>
        <w:spacing w:before="100" w:beforeAutospacing="1" w:after="216" w:line="312" w:lineRule="atLeast"/>
        <w:outlineLvl w:val="4"/>
        <w:rPr>
          <w:rFonts w:ascii="Times New Roman" w:eastAsia="Times New Roman" w:hAnsi="Times New Roman" w:cs="Times New Roman"/>
          <w:sz w:val="38"/>
          <w:szCs w:val="38"/>
          <w:lang w:eastAsia="ro-RO"/>
        </w:rPr>
      </w:pPr>
      <w:r w:rsidRPr="0086755C">
        <w:rPr>
          <w:rFonts w:ascii="Times New Roman" w:eastAsia="Times New Roman" w:hAnsi="Times New Roman" w:cs="Times New Roman"/>
          <w:sz w:val="38"/>
          <w:szCs w:val="38"/>
          <w:lang w:eastAsia="ro-RO"/>
        </w:rPr>
        <w:lastRenderedPageBreak/>
        <w:t>‍</w:t>
      </w:r>
      <w:proofErr w:type="spellStart"/>
      <w:r w:rsidRPr="0086755C">
        <w:rPr>
          <w:rFonts w:ascii="Times New Roman" w:eastAsia="Times New Roman" w:hAnsi="Times New Roman" w:cs="Times New Roman"/>
          <w:b/>
          <w:bCs/>
          <w:sz w:val="38"/>
          <w:szCs w:val="38"/>
          <w:lang w:eastAsia="ro-RO"/>
        </w:rPr>
        <w:t>Obligaţiile</w:t>
      </w:r>
      <w:proofErr w:type="spellEnd"/>
      <w:r w:rsidRPr="0086755C">
        <w:rPr>
          <w:rFonts w:ascii="Times New Roman" w:eastAsia="Times New Roman" w:hAnsi="Times New Roman" w:cs="Times New Roman"/>
          <w:b/>
          <w:bCs/>
          <w:sz w:val="38"/>
          <w:szCs w:val="38"/>
          <w:lang w:eastAsia="ro-RO"/>
        </w:rPr>
        <w:t xml:space="preserve"> titularului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‍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br/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Titularul venitului minim de incluziune are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obligaţia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să comunice primăriei în a cărei rază teritorială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îşi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are domiciliul sau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reşedinţa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,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orice modificare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 cu privire la domiciliu, venituri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numărul membrilor familiei, în termen de maximum 15 zile de la data la care a intervenit modificarea.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Persoanele singure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familiile beneficiare de venit minim de incluziune au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obligaţia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 xml:space="preserve">să depună la primărie, din 6 în 6 luni, </w:t>
      </w:r>
      <w:proofErr w:type="spellStart"/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declaraţia</w:t>
      </w:r>
      <w:proofErr w:type="spellEnd"/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 xml:space="preserve"> pe propria răspundere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. Persoanele apte de muncă care nu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obţin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venituri în baza unui contract individual de muncă, raport de serviciu sau altă formă legală de angajare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nici din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activităţi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independente sau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activităţi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agricole,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aşa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cum sunt acestea definite de Legea nr. 227/2015, cu modificările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completările ulterioare, au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obligaţia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 xml:space="preserve">să se prezinte, ori de câte ori sunt solicitate de </w:t>
      </w:r>
      <w:proofErr w:type="spellStart"/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agenţia</w:t>
      </w:r>
      <w:proofErr w:type="spellEnd"/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 xml:space="preserve"> teritorială pentru ocuparea </w:t>
      </w:r>
      <w:proofErr w:type="spellStart"/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forţei</w:t>
      </w:r>
      <w:proofErr w:type="spellEnd"/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 xml:space="preserve"> de muncă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 în a cărei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evidenţă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sunt înregistrate ca persoane în căutarea unui loc de muncă, în vederea încadrării în muncă sau a participării la serviciile pentru stimularea ocupării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forţei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de muncă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de formare profesională.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În cazul persoanelor singure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familiilor beneficiare ale venitului minim de incluziune care constă exclusiv în ajutor pentru familia cu copii,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obligaţia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de mai sus nu se aplică.</w:t>
      </w:r>
    </w:p>
    <w:p w:rsidR="0086755C" w:rsidRPr="0086755C" w:rsidRDefault="0086755C" w:rsidP="0086755C">
      <w:pPr>
        <w:spacing w:after="360"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În cazul familiilor beneficiare de venit minim de incluziune care include componenta de ajutor de incluziune, </w:t>
      </w:r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 xml:space="preserve">una dintre persoanele majore apte de muncă din familia respectivă are </w:t>
      </w:r>
      <w:proofErr w:type="spellStart"/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obligaţia</w:t>
      </w:r>
      <w:proofErr w:type="spellEnd"/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 xml:space="preserve"> de a presta lunar, la solicitarea primarului, </w:t>
      </w:r>
      <w:proofErr w:type="spellStart"/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>activităţi</w:t>
      </w:r>
      <w:proofErr w:type="spellEnd"/>
      <w:r w:rsidRPr="0086755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o-RO"/>
        </w:rPr>
        <w:t xml:space="preserve"> sau lucrări de interes local</w:t>
      </w: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, cu respectarea duratei normale a timpului de muncă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a normelor de securitate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sănătate în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muncă.Fac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excepţie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familiile pentru care suma aferentă ajutorului de incluziune este de până la 50 de lei.</w:t>
      </w:r>
    </w:p>
    <w:p w:rsidR="0086755C" w:rsidRPr="0086755C" w:rsidRDefault="0086755C" w:rsidP="0086755C">
      <w:pPr>
        <w:spacing w:line="408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</w:pPr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Pentru acestea, orele de muncă se stabilesc trimestrial </w:t>
      </w:r>
      <w:proofErr w:type="spellStart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>şi</w:t>
      </w:r>
      <w:proofErr w:type="spellEnd"/>
      <w:r w:rsidRPr="0086755C">
        <w:rPr>
          <w:rFonts w:ascii="Times New Roman" w:eastAsia="Times New Roman" w:hAnsi="Times New Roman" w:cs="Times New Roman"/>
          <w:spacing w:val="3"/>
          <w:sz w:val="24"/>
          <w:szCs w:val="24"/>
          <w:lang w:eastAsia="ro-RO"/>
        </w:rPr>
        <w:t xml:space="preserve"> se efectuează în oricare dintre lunile trimestrului.</w:t>
      </w:r>
    </w:p>
    <w:p w:rsidR="007E6724" w:rsidRDefault="007E6724" w:rsidP="0086755C">
      <w:pPr>
        <w:shd w:val="clear" w:color="auto" w:fill="FFFFFF"/>
        <w:spacing w:before="75" w:after="300" w:line="240" w:lineRule="auto"/>
      </w:pPr>
    </w:p>
    <w:sectPr w:rsidR="007E6724" w:rsidSect="009F7553">
      <w:pgSz w:w="12240" w:h="15840"/>
      <w:pgMar w:top="480" w:right="720" w:bottom="2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4B0D"/>
    <w:multiLevelType w:val="multilevel"/>
    <w:tmpl w:val="F2D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96D49"/>
    <w:multiLevelType w:val="multilevel"/>
    <w:tmpl w:val="A0DA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7150B"/>
    <w:multiLevelType w:val="multilevel"/>
    <w:tmpl w:val="0ECE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D3045"/>
    <w:multiLevelType w:val="multilevel"/>
    <w:tmpl w:val="162A9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EC5A5C"/>
    <w:multiLevelType w:val="multilevel"/>
    <w:tmpl w:val="7C9E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263E87"/>
    <w:multiLevelType w:val="multilevel"/>
    <w:tmpl w:val="16F8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80A9B"/>
    <w:multiLevelType w:val="multilevel"/>
    <w:tmpl w:val="252C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FC"/>
    <w:rsid w:val="003D2426"/>
    <w:rsid w:val="006E04FC"/>
    <w:rsid w:val="007E6724"/>
    <w:rsid w:val="0086755C"/>
    <w:rsid w:val="009F7553"/>
    <w:rsid w:val="00A338DE"/>
    <w:rsid w:val="00AE5EFF"/>
    <w:rsid w:val="00B14498"/>
    <w:rsid w:val="00E07699"/>
    <w:rsid w:val="00F6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01C6AF-3426-4048-B419-8D77F838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675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675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7951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5267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237003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8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0316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4251">
                          <w:blockQuote w:val="1"/>
                          <w:marLeft w:val="0"/>
                          <w:marRight w:val="0"/>
                          <w:marTop w:val="0"/>
                          <w:marBottom w:val="312"/>
                          <w:divBdr>
                            <w:top w:val="none" w:sz="0" w:space="0" w:color="auto"/>
                            <w:left w:val="single" w:sz="36" w:space="13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1826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adriana.damian</dc:creator>
  <cp:keywords/>
  <dc:description/>
  <cp:lastModifiedBy>adriana.damian</cp:lastModifiedBy>
  <cp:revision>7</cp:revision>
  <dcterms:created xsi:type="dcterms:W3CDTF">2024-01-29T08:14:00Z</dcterms:created>
  <dcterms:modified xsi:type="dcterms:W3CDTF">2024-01-29T13:49:00Z</dcterms:modified>
</cp:coreProperties>
</file>